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90" w:rsidRPr="002D4E90" w:rsidRDefault="001300FE" w:rsidP="001300FE">
      <w:pPr>
        <w:jc w:val="center"/>
        <w:rPr>
          <w:b/>
        </w:rPr>
      </w:pPr>
      <w:r>
        <w:rPr>
          <w:b/>
        </w:rPr>
        <w:t>BRIDGING IN AFIB</w:t>
      </w:r>
    </w:p>
    <w:p w:rsidR="002D4E90" w:rsidRPr="002D4E90" w:rsidRDefault="002D4E90">
      <w:pPr>
        <w:rPr>
          <w:b/>
        </w:rPr>
      </w:pPr>
      <w:r w:rsidRPr="002D4E90">
        <w:rPr>
          <w:b/>
        </w:rPr>
        <w:t xml:space="preserve">What is </w:t>
      </w:r>
      <w:r w:rsidR="004C4B03">
        <w:rPr>
          <w:b/>
        </w:rPr>
        <w:t xml:space="preserve">the concept of </w:t>
      </w:r>
      <w:r w:rsidRPr="002D4E90">
        <w:rPr>
          <w:b/>
        </w:rPr>
        <w:t>“bridging?”</w:t>
      </w:r>
    </w:p>
    <w:p w:rsidR="002D4E90" w:rsidRDefault="002D4E90">
      <w:proofErr w:type="gramStart"/>
      <w:r>
        <w:t>Where you add a LWMH to warfarin to provide protection while you are waiting</w:t>
      </w:r>
      <w:r w:rsidR="00AE0AC0">
        <w:t xml:space="preserve"> for INR to become therapeutic (</w:t>
      </w:r>
      <w:proofErr w:type="spellStart"/>
      <w:r w:rsidR="00AE0AC0">
        <w:t>ie</w:t>
      </w:r>
      <w:proofErr w:type="spellEnd"/>
      <w:r w:rsidR="00AE0AC0">
        <w:t>.</w:t>
      </w:r>
      <w:proofErr w:type="gramEnd"/>
      <w:r w:rsidR="00AE0AC0">
        <w:t xml:space="preserve"> DVT) or when warfarin is temporarily interrupted for patients undergoing procedures.</w:t>
      </w:r>
      <w:r>
        <w:t xml:space="preserve">  </w:t>
      </w:r>
    </w:p>
    <w:p w:rsidR="002D4E90" w:rsidRDefault="00B40E34" w:rsidP="00403FA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403FAF">
        <w:rPr>
          <w:b/>
        </w:rPr>
        <w:t>Why do you need to overlap?</w:t>
      </w:r>
      <w:r w:rsidR="00403FAF" w:rsidRPr="00403FAF">
        <w:rPr>
          <w:b/>
        </w:rPr>
        <w:t xml:space="preserve"> (</w:t>
      </w:r>
      <w:proofErr w:type="spellStart"/>
      <w:r w:rsidR="008E437E" w:rsidRPr="00403FAF">
        <w:rPr>
          <w:rFonts w:eastAsia="Times New Roman" w:cs="Arial"/>
          <w:color w:val="000000"/>
        </w:rPr>
        <w:fldChar w:fldCharType="begin"/>
      </w:r>
      <w:r w:rsidR="00403FAF" w:rsidRPr="00403FAF">
        <w:rPr>
          <w:rFonts w:eastAsia="Times New Roman" w:cs="Arial"/>
          <w:color w:val="000000"/>
        </w:rPr>
        <w:instrText xml:space="preserve"> HYPERLINK "http://www.ncbi.nlm.nih.gov/pubmed/?term=Wittkowsky%20AK%5BAuthor%5D&amp;cauthor=true&amp;cauthor_uid=15900262" </w:instrText>
      </w:r>
      <w:r w:rsidR="008E437E" w:rsidRPr="00403FAF">
        <w:rPr>
          <w:rFonts w:eastAsia="Times New Roman" w:cs="Arial"/>
          <w:color w:val="000000"/>
        </w:rPr>
        <w:fldChar w:fldCharType="separate"/>
      </w:r>
      <w:r w:rsidR="00403FAF" w:rsidRPr="00403FAF">
        <w:rPr>
          <w:rFonts w:eastAsia="Times New Roman" w:cs="Arial"/>
          <w:color w:val="660066"/>
          <w:u w:val="single"/>
        </w:rPr>
        <w:t>Wittkowsky</w:t>
      </w:r>
      <w:proofErr w:type="spellEnd"/>
      <w:r w:rsidR="00403FAF" w:rsidRPr="00403FAF">
        <w:rPr>
          <w:rFonts w:eastAsia="Times New Roman" w:cs="Arial"/>
          <w:color w:val="660066"/>
          <w:u w:val="single"/>
        </w:rPr>
        <w:t xml:space="preserve"> AK</w:t>
      </w:r>
      <w:r w:rsidR="008E437E" w:rsidRPr="00403FAF">
        <w:rPr>
          <w:rFonts w:eastAsia="Times New Roman" w:cs="Arial"/>
          <w:color w:val="000000"/>
        </w:rPr>
        <w:fldChar w:fldCharType="end"/>
      </w:r>
      <w:r w:rsidR="00403FAF" w:rsidRPr="00403FAF">
        <w:rPr>
          <w:rFonts w:eastAsia="Times New Roman" w:cs="Arial"/>
          <w:color w:val="000000"/>
        </w:rPr>
        <w:t>.</w:t>
      </w:r>
      <w:r w:rsidR="00403FAF">
        <w:rPr>
          <w:rFonts w:eastAsia="Times New Roman" w:cs="Arial"/>
          <w:color w:val="000000"/>
        </w:rPr>
        <w:t xml:space="preserve"> </w:t>
      </w:r>
      <w:r w:rsidR="00403FAF" w:rsidRPr="00403FAF">
        <w:rPr>
          <w:rFonts w:eastAsia="Times New Roman" w:cs="Arial"/>
          <w:bCs/>
          <w:color w:val="000000"/>
          <w:kern w:val="36"/>
        </w:rPr>
        <w:t xml:space="preserve">Why warfarin and heparin need to overlap when treating acute venous thromboembolism. </w:t>
      </w:r>
      <w:hyperlink r:id="rId8" w:tooltip="Disease-a-month : DM." w:history="1">
        <w:r w:rsidR="00403FAF" w:rsidRPr="00403FAF">
          <w:rPr>
            <w:rFonts w:eastAsia="Times New Roman" w:cs="Arial"/>
            <w:color w:val="660066"/>
            <w:u w:val="single"/>
          </w:rPr>
          <w:t>Dis Mon.</w:t>
        </w:r>
      </w:hyperlink>
      <w:r w:rsidR="00403FAF" w:rsidRPr="00403FAF">
        <w:rPr>
          <w:rFonts w:eastAsia="Times New Roman" w:cs="Arial"/>
          <w:color w:val="000000"/>
        </w:rPr>
        <w:t> 2005 Feb-Mar</w:t>
      </w:r>
      <w:proofErr w:type="gramStart"/>
      <w:r w:rsidR="00403FAF" w:rsidRPr="00403FAF">
        <w:rPr>
          <w:rFonts w:eastAsia="Times New Roman" w:cs="Arial"/>
          <w:color w:val="000000"/>
        </w:rPr>
        <w:t>;51</w:t>
      </w:r>
      <w:proofErr w:type="gramEnd"/>
      <w:r w:rsidR="00403FAF" w:rsidRPr="00403FAF">
        <w:rPr>
          <w:rFonts w:eastAsia="Times New Roman" w:cs="Arial"/>
          <w:color w:val="000000"/>
        </w:rPr>
        <w:t>(2-3):112-5.</w:t>
      </w:r>
      <w:r w:rsidR="00403FAF">
        <w:rPr>
          <w:rFonts w:eastAsia="Times New Roman" w:cs="Arial"/>
          <w:color w:val="000000"/>
        </w:rPr>
        <w:t>)</w:t>
      </w:r>
      <w:bookmarkStart w:id="0" w:name="_GoBack"/>
      <w:bookmarkEnd w:id="0"/>
    </w:p>
    <w:p w:rsidR="00403FAF" w:rsidRPr="00403FAF" w:rsidRDefault="00403FAF" w:rsidP="00403FA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3317"/>
        <w:gridCol w:w="3214"/>
        <w:gridCol w:w="3045"/>
      </w:tblGrid>
      <w:tr w:rsidR="00B40E34" w:rsidRPr="00B40E34" w:rsidTr="00B40E34">
        <w:tc>
          <w:tcPr>
            <w:tcW w:w="3317" w:type="dxa"/>
          </w:tcPr>
          <w:p w:rsidR="00B40E34" w:rsidRPr="00B40E34" w:rsidRDefault="00B40E34">
            <w:r w:rsidRPr="00B40E34">
              <w:t>Clotting Factors</w:t>
            </w:r>
          </w:p>
        </w:tc>
        <w:tc>
          <w:tcPr>
            <w:tcW w:w="3214" w:type="dxa"/>
          </w:tcPr>
          <w:p w:rsidR="00B40E34" w:rsidRPr="00B40E34" w:rsidRDefault="00B40E34" w:rsidP="00B40E34">
            <w:r w:rsidRPr="00B40E34">
              <w:t>Half Life</w:t>
            </w:r>
          </w:p>
        </w:tc>
        <w:tc>
          <w:tcPr>
            <w:tcW w:w="3045" w:type="dxa"/>
          </w:tcPr>
          <w:p w:rsidR="00B40E34" w:rsidRPr="00B40E34" w:rsidRDefault="00B40E34">
            <w:r w:rsidRPr="00B40E34">
              <w:t>Comment</w:t>
            </w:r>
          </w:p>
        </w:tc>
      </w:tr>
      <w:tr w:rsidR="00B40E34" w:rsidRPr="00B40E34" w:rsidTr="00B40E34">
        <w:tc>
          <w:tcPr>
            <w:tcW w:w="3317" w:type="dxa"/>
          </w:tcPr>
          <w:p w:rsidR="00B40E34" w:rsidRPr="00B40E34" w:rsidRDefault="00B40E34">
            <w:r w:rsidRPr="00B40E34">
              <w:t>Protein C</w:t>
            </w:r>
          </w:p>
        </w:tc>
        <w:tc>
          <w:tcPr>
            <w:tcW w:w="3214" w:type="dxa"/>
          </w:tcPr>
          <w:p w:rsidR="00B40E34" w:rsidRPr="00B40E34" w:rsidRDefault="00B40E34">
            <w:r w:rsidRPr="00B40E34">
              <w:t>9 hrs</w:t>
            </w:r>
          </w:p>
        </w:tc>
        <w:tc>
          <w:tcPr>
            <w:tcW w:w="3045" w:type="dxa"/>
          </w:tcPr>
          <w:p w:rsidR="00B40E34" w:rsidRPr="00B40E34" w:rsidRDefault="00B40E34">
            <w:r>
              <w:t>Short T1/2=rapid decline</w:t>
            </w:r>
          </w:p>
        </w:tc>
      </w:tr>
      <w:tr w:rsidR="00B40E34" w:rsidRPr="00B40E34" w:rsidTr="00B40E34">
        <w:tc>
          <w:tcPr>
            <w:tcW w:w="3317" w:type="dxa"/>
          </w:tcPr>
          <w:p w:rsidR="00B40E34" w:rsidRPr="00B40E34" w:rsidRDefault="00B40E34">
            <w:r w:rsidRPr="00B40E34">
              <w:t>Factor VII</w:t>
            </w:r>
          </w:p>
        </w:tc>
        <w:tc>
          <w:tcPr>
            <w:tcW w:w="3214" w:type="dxa"/>
          </w:tcPr>
          <w:p w:rsidR="00B40E34" w:rsidRPr="00B40E34" w:rsidRDefault="00B40E34">
            <w:r w:rsidRPr="00B40E34">
              <w:t>4-6 hrs</w:t>
            </w:r>
          </w:p>
        </w:tc>
        <w:tc>
          <w:tcPr>
            <w:tcW w:w="3045" w:type="dxa"/>
          </w:tcPr>
          <w:p w:rsidR="00B40E34" w:rsidRPr="00B40E34" w:rsidRDefault="00B40E34">
            <w:r>
              <w:t>Short T1/2=rapid decline</w:t>
            </w:r>
          </w:p>
        </w:tc>
      </w:tr>
      <w:tr w:rsidR="00B40E34" w:rsidRPr="00B40E34" w:rsidTr="00B40E34">
        <w:tc>
          <w:tcPr>
            <w:tcW w:w="3317" w:type="dxa"/>
          </w:tcPr>
          <w:p w:rsidR="00B40E34" w:rsidRPr="00B40E34" w:rsidRDefault="00B40E34">
            <w:r w:rsidRPr="00B40E34">
              <w:t>Factor II</w:t>
            </w:r>
            <w:r w:rsidR="00DB3A26">
              <w:t xml:space="preserve"> (Prothrombin)</w:t>
            </w:r>
          </w:p>
        </w:tc>
        <w:tc>
          <w:tcPr>
            <w:tcW w:w="3214" w:type="dxa"/>
          </w:tcPr>
          <w:p w:rsidR="00B40E34" w:rsidRPr="00B40E34" w:rsidRDefault="00B40E34">
            <w:r w:rsidRPr="00B40E34">
              <w:t>42-72 hrs</w:t>
            </w:r>
          </w:p>
        </w:tc>
        <w:tc>
          <w:tcPr>
            <w:tcW w:w="3045" w:type="dxa"/>
          </w:tcPr>
          <w:p w:rsidR="00B40E34" w:rsidRPr="00B40E34" w:rsidRDefault="00B40E34" w:rsidP="00DB3A26">
            <w:r>
              <w:t xml:space="preserve">4-5 days for effective </w:t>
            </w:r>
            <w:r w:rsidR="00DB3A26">
              <w:t xml:space="preserve">thrombosis </w:t>
            </w:r>
            <w:r>
              <w:t>protection</w:t>
            </w:r>
          </w:p>
        </w:tc>
      </w:tr>
    </w:tbl>
    <w:p w:rsidR="00403FAF" w:rsidRDefault="00403FAF" w:rsidP="00403FAF">
      <w:pPr>
        <w:spacing w:after="0" w:line="240" w:lineRule="auto"/>
      </w:pPr>
    </w:p>
    <w:p w:rsidR="00B40E34" w:rsidRPr="00B40E34" w:rsidRDefault="00B40E34">
      <w:r w:rsidRPr="00B40E34">
        <w:t>When warfarin is given, you see rapid decline in Protein C (natural anticoagulant) and Factor VII. This decline in Protein C may</w:t>
      </w:r>
      <w:r>
        <w:t xml:space="preserve"> cause a </w:t>
      </w:r>
      <w:proofErr w:type="spellStart"/>
      <w:r>
        <w:t>hypercoagulable</w:t>
      </w:r>
      <w:proofErr w:type="spellEnd"/>
      <w:r>
        <w:t xml:space="preserve"> state. While this has not been shown in clinical trials for </w:t>
      </w:r>
      <w:proofErr w:type="spellStart"/>
      <w:r>
        <w:t>Afib</w:t>
      </w:r>
      <w:proofErr w:type="spellEnd"/>
      <w:r>
        <w:t xml:space="preserve">, it is one of the rationales for bridging in DVT/PE.  </w:t>
      </w:r>
      <w:r w:rsidRPr="00B40E34">
        <w:t xml:space="preserve">Lower levels of Factor VII have not been shown to prevent thrombosis. </w:t>
      </w:r>
      <w:r w:rsidR="00DB3A26">
        <w:t xml:space="preserve">Any early changes to the INR are a reflection of inhibition of Factor VII. </w:t>
      </w:r>
      <w:r w:rsidR="00DB3A26" w:rsidRPr="00DB3A26">
        <w:rPr>
          <w:b/>
        </w:rPr>
        <w:t>Factor II</w:t>
      </w:r>
      <w:r w:rsidR="00DB3A26">
        <w:t xml:space="preserve"> inhibition </w:t>
      </w:r>
      <w:r w:rsidR="00DB3A26" w:rsidRPr="00DB3A26">
        <w:rPr>
          <w:b/>
        </w:rPr>
        <w:t>does</w:t>
      </w:r>
      <w:r w:rsidR="00DB3A26">
        <w:t xml:space="preserve"> prevent thrombosis!  Because the half-</w:t>
      </w:r>
      <w:r w:rsidRPr="00B40E34">
        <w:t xml:space="preserve">life of Factor II is so much longer, it takes about 4-5 days for this to occur. </w:t>
      </w:r>
    </w:p>
    <w:p w:rsidR="00DB3A26" w:rsidRDefault="00DB3A26">
      <w:pPr>
        <w:rPr>
          <w:b/>
        </w:rPr>
      </w:pPr>
      <w:r>
        <w:rPr>
          <w:b/>
        </w:rPr>
        <w:t>What are the current recommendations?</w:t>
      </w:r>
    </w:p>
    <w:p w:rsidR="00DB3A26" w:rsidRPr="00856319" w:rsidRDefault="00856319">
      <w:pPr>
        <w:rPr>
          <w:u w:val="single"/>
        </w:rPr>
      </w:pPr>
      <w:r w:rsidRPr="00856319">
        <w:rPr>
          <w:u w:val="single"/>
        </w:rPr>
        <w:t xml:space="preserve">2014 </w:t>
      </w:r>
      <w:r w:rsidR="00DB3A26" w:rsidRPr="00856319">
        <w:rPr>
          <w:u w:val="single"/>
        </w:rPr>
        <w:t>AHA/ACC</w:t>
      </w:r>
      <w:r w:rsidRPr="00856319">
        <w:rPr>
          <w:u w:val="single"/>
        </w:rPr>
        <w:t>/</w:t>
      </w:r>
      <w:proofErr w:type="gramStart"/>
      <w:r w:rsidRPr="00856319">
        <w:rPr>
          <w:u w:val="single"/>
        </w:rPr>
        <w:t xml:space="preserve">HRS </w:t>
      </w:r>
      <w:r w:rsidR="00DB3A26" w:rsidRPr="00856319">
        <w:rPr>
          <w:u w:val="single"/>
        </w:rPr>
        <w:t xml:space="preserve"> Guidelines</w:t>
      </w:r>
      <w:proofErr w:type="gramEnd"/>
      <w:r w:rsidRPr="00856319">
        <w:rPr>
          <w:u w:val="single"/>
        </w:rPr>
        <w:t xml:space="preserve"> for the Management of Atrial Fibrillation</w:t>
      </w:r>
      <w:r w:rsidR="00DB3A26" w:rsidRPr="00856319">
        <w:rPr>
          <w:u w:val="single"/>
        </w:rPr>
        <w:t xml:space="preserve"> (</w:t>
      </w:r>
      <w:r w:rsidR="00CA408D" w:rsidRPr="00856319">
        <w:rPr>
          <w:u w:val="single"/>
        </w:rPr>
        <w:t xml:space="preserve">J Am </w:t>
      </w:r>
      <w:proofErr w:type="spellStart"/>
      <w:r w:rsidR="00CA408D" w:rsidRPr="00856319">
        <w:rPr>
          <w:u w:val="single"/>
        </w:rPr>
        <w:t>Coll</w:t>
      </w:r>
      <w:proofErr w:type="spellEnd"/>
      <w:r w:rsidR="00CA408D" w:rsidRPr="00856319">
        <w:rPr>
          <w:u w:val="single"/>
        </w:rPr>
        <w:t xml:space="preserve"> </w:t>
      </w:r>
      <w:proofErr w:type="spellStart"/>
      <w:r w:rsidR="00CA408D" w:rsidRPr="00856319">
        <w:rPr>
          <w:u w:val="single"/>
        </w:rPr>
        <w:t>Cardiol</w:t>
      </w:r>
      <w:proofErr w:type="spellEnd"/>
      <w:r w:rsidR="00CA408D" w:rsidRPr="00856319">
        <w:rPr>
          <w:u w:val="single"/>
        </w:rPr>
        <w:t xml:space="preserve"> 2014;64(21):2246-2280</w:t>
      </w:r>
      <w:r w:rsidR="00DB3A26" w:rsidRPr="00856319">
        <w:rPr>
          <w:u w:val="single"/>
        </w:rPr>
        <w:t>)</w:t>
      </w:r>
    </w:p>
    <w:p w:rsidR="00DB3A26" w:rsidRPr="00DB3A26" w:rsidRDefault="000128A9" w:rsidP="00DB3A26">
      <w:pPr>
        <w:pStyle w:val="ListParagraph"/>
        <w:numPr>
          <w:ilvl w:val="0"/>
          <w:numId w:val="4"/>
        </w:numPr>
      </w:pPr>
      <w:r w:rsidRPr="00DB3A26">
        <w:t xml:space="preserve">Observational and trial data do not support use of routine bridging due to increased risk of bleed </w:t>
      </w:r>
      <w:r w:rsidR="00DB3A26">
        <w:t xml:space="preserve"> </w:t>
      </w:r>
    </w:p>
    <w:p w:rsidR="008E437E" w:rsidRPr="00DB3A26" w:rsidRDefault="000128A9" w:rsidP="00DB3A26">
      <w:pPr>
        <w:pStyle w:val="ListParagraph"/>
        <w:numPr>
          <w:ilvl w:val="0"/>
          <w:numId w:val="4"/>
        </w:numPr>
      </w:pPr>
      <w:r w:rsidRPr="00DB3A26">
        <w:t>Bridging is reasonable in high risk subgroups:</w:t>
      </w:r>
    </w:p>
    <w:p w:rsidR="003D601F" w:rsidRDefault="000128A9" w:rsidP="003D601F">
      <w:pPr>
        <w:pStyle w:val="ListParagraph"/>
        <w:numPr>
          <w:ilvl w:val="0"/>
          <w:numId w:val="5"/>
        </w:numPr>
      </w:pPr>
      <w:r w:rsidRPr="00DB3A26">
        <w:t>Mechanical heart valves</w:t>
      </w:r>
      <w:r w:rsidR="003D601F">
        <w:t xml:space="preserve"> (1C)</w:t>
      </w:r>
    </w:p>
    <w:p w:rsidR="003D601F" w:rsidRPr="003D601F" w:rsidRDefault="003D601F" w:rsidP="003D601F">
      <w:pPr>
        <w:pStyle w:val="ListParagraph"/>
        <w:numPr>
          <w:ilvl w:val="0"/>
          <w:numId w:val="5"/>
        </w:numPr>
      </w:pPr>
      <w:r w:rsidRPr="003D601F">
        <w:rPr>
          <w:color w:val="000000"/>
        </w:rPr>
        <w:t>CHA</w:t>
      </w:r>
      <w:r w:rsidRPr="003D601F">
        <w:rPr>
          <w:color w:val="000000"/>
          <w:sz w:val="12"/>
          <w:szCs w:val="12"/>
        </w:rPr>
        <w:t>2</w:t>
      </w:r>
      <w:r w:rsidRPr="003D601F">
        <w:rPr>
          <w:color w:val="000000"/>
        </w:rPr>
        <w:t>DS</w:t>
      </w:r>
      <w:r w:rsidRPr="003D601F">
        <w:rPr>
          <w:color w:val="000000"/>
          <w:sz w:val="12"/>
          <w:szCs w:val="12"/>
        </w:rPr>
        <w:t>2</w:t>
      </w:r>
      <w:r w:rsidRPr="003D601F">
        <w:rPr>
          <w:color w:val="000000"/>
        </w:rPr>
        <w:t>-VASc score ≥2</w:t>
      </w:r>
      <w:r>
        <w:rPr>
          <w:color w:val="000000"/>
        </w:rPr>
        <w:t xml:space="preserve"> (limited data)</w:t>
      </w:r>
    </w:p>
    <w:p w:rsidR="00DB3A26" w:rsidRPr="00856319" w:rsidRDefault="00DB3A26" w:rsidP="00B45273">
      <w:pPr>
        <w:spacing w:after="0" w:line="240" w:lineRule="auto"/>
        <w:rPr>
          <w:bCs/>
          <w:color w:val="231F20"/>
          <w:u w:val="single"/>
        </w:rPr>
      </w:pPr>
      <w:r w:rsidRPr="00856319">
        <w:rPr>
          <w:bCs/>
          <w:color w:val="231F20"/>
          <w:u w:val="single"/>
        </w:rPr>
        <w:t>Perioperative Management of</w:t>
      </w:r>
      <w:r w:rsidRPr="00856319">
        <w:rPr>
          <w:color w:val="231F20"/>
          <w:u w:val="single"/>
        </w:rPr>
        <w:t xml:space="preserve"> </w:t>
      </w:r>
      <w:r w:rsidRPr="00856319">
        <w:rPr>
          <w:bCs/>
          <w:color w:val="231F20"/>
          <w:u w:val="single"/>
        </w:rPr>
        <w:t>Antithrombotic Therapy</w:t>
      </w:r>
      <w:r w:rsidRPr="00856319">
        <w:rPr>
          <w:color w:val="231F20"/>
          <w:u w:val="single"/>
        </w:rPr>
        <w:t xml:space="preserve"> </w:t>
      </w:r>
      <w:r w:rsidRPr="00856319">
        <w:rPr>
          <w:bCs/>
          <w:color w:val="231F20"/>
          <w:u w:val="single"/>
        </w:rPr>
        <w:t>Antithrombotic Therapy and Prevention of Thrombosis,</w:t>
      </w:r>
      <w:r w:rsidRPr="00856319">
        <w:rPr>
          <w:color w:val="231F20"/>
          <w:u w:val="single"/>
        </w:rPr>
        <w:t xml:space="preserve"> </w:t>
      </w:r>
      <w:r w:rsidRPr="00856319">
        <w:rPr>
          <w:bCs/>
          <w:color w:val="231F20"/>
          <w:u w:val="single"/>
        </w:rPr>
        <w:t xml:space="preserve">9th </w:t>
      </w:r>
      <w:proofErr w:type="spellStart"/>
      <w:proofErr w:type="gramStart"/>
      <w:r w:rsidRPr="00856319">
        <w:rPr>
          <w:bCs/>
          <w:color w:val="231F20"/>
          <w:u w:val="single"/>
        </w:rPr>
        <w:t>ed</w:t>
      </w:r>
      <w:proofErr w:type="spellEnd"/>
      <w:r w:rsidRPr="00856319">
        <w:rPr>
          <w:bCs/>
          <w:color w:val="231F20"/>
          <w:u w:val="single"/>
        </w:rPr>
        <w:t>: American College of Chest Physicians</w:t>
      </w:r>
      <w:r w:rsidRPr="00856319">
        <w:rPr>
          <w:color w:val="231F20"/>
          <w:u w:val="single"/>
        </w:rPr>
        <w:t xml:space="preserve"> </w:t>
      </w:r>
      <w:r w:rsidRPr="00856319">
        <w:rPr>
          <w:bCs/>
          <w:color w:val="231F20"/>
          <w:u w:val="single"/>
        </w:rPr>
        <w:t>Evidence-Based</w:t>
      </w:r>
      <w:proofErr w:type="gramEnd"/>
      <w:r w:rsidRPr="00856319">
        <w:rPr>
          <w:bCs/>
          <w:color w:val="231F20"/>
          <w:u w:val="single"/>
        </w:rPr>
        <w:t xml:space="preserve"> Clinical Practice Guidelines</w:t>
      </w:r>
    </w:p>
    <w:p w:rsidR="00DB3A26" w:rsidRPr="00856319" w:rsidRDefault="00DB3A26" w:rsidP="00B45273">
      <w:pPr>
        <w:spacing w:after="0" w:line="240" w:lineRule="auto"/>
        <w:rPr>
          <w:u w:val="single"/>
          <w:lang w:val="pt-BR"/>
        </w:rPr>
      </w:pPr>
      <w:r w:rsidRPr="00856319">
        <w:rPr>
          <w:u w:val="single"/>
          <w:lang w:val="pt-BR"/>
        </w:rPr>
        <w:t>(CHEST 2012; 141(2)(Suppl):e326S–e350S)</w:t>
      </w:r>
    </w:p>
    <w:p w:rsidR="00B45273" w:rsidRDefault="00B45273" w:rsidP="00B45273">
      <w:pPr>
        <w:spacing w:after="0" w:line="240" w:lineRule="auto"/>
        <w:rPr>
          <w:b/>
          <w:bCs/>
          <w:color w:val="231F20"/>
        </w:rPr>
      </w:pPr>
    </w:p>
    <w:p w:rsidR="00B45273" w:rsidRPr="00B45273" w:rsidRDefault="00B45273" w:rsidP="00B45273">
      <w:pPr>
        <w:pStyle w:val="ListParagraph"/>
        <w:numPr>
          <w:ilvl w:val="0"/>
          <w:numId w:val="6"/>
        </w:numPr>
      </w:pPr>
      <w:r w:rsidRPr="00B45273">
        <w:t xml:space="preserve">Bridge </w:t>
      </w:r>
      <w:r w:rsidRPr="00B45273">
        <w:rPr>
          <w:bCs/>
          <w:color w:val="231F20"/>
        </w:rPr>
        <w:t>in patients with a mechanical heart valve,</w:t>
      </w:r>
      <w:r w:rsidRPr="00B45273">
        <w:rPr>
          <w:color w:val="231F20"/>
        </w:rPr>
        <w:br/>
      </w:r>
      <w:r w:rsidRPr="00B45273">
        <w:rPr>
          <w:bCs/>
          <w:color w:val="231F20"/>
        </w:rPr>
        <w:t xml:space="preserve">atrial fibrillation, or VTE at </w:t>
      </w:r>
      <w:r w:rsidRPr="00B45273">
        <w:rPr>
          <w:b/>
          <w:bCs/>
          <w:color w:val="231F20"/>
        </w:rPr>
        <w:t>high risk</w:t>
      </w:r>
      <w:r w:rsidRPr="00B45273">
        <w:rPr>
          <w:bCs/>
          <w:color w:val="231F20"/>
        </w:rPr>
        <w:t xml:space="preserve"> for thromboembolism, interruption</w:t>
      </w:r>
      <w:r w:rsidRPr="00B45273">
        <w:rPr>
          <w:color w:val="231F20"/>
        </w:rPr>
        <w:br/>
      </w:r>
      <w:r w:rsidRPr="00B45273">
        <w:rPr>
          <w:bCs/>
          <w:color w:val="231F20"/>
        </w:rPr>
        <w:t xml:space="preserve">of VKA therapy </w:t>
      </w:r>
      <w:r w:rsidRPr="00B45273">
        <w:rPr>
          <w:color w:val="231F20"/>
        </w:rPr>
        <w:t>(Grade 2C)</w:t>
      </w:r>
    </w:p>
    <w:p w:rsidR="00A20DC3" w:rsidRPr="00352E5C" w:rsidRDefault="00B45273" w:rsidP="00A20DC3">
      <w:pPr>
        <w:pStyle w:val="ListParagraph"/>
        <w:numPr>
          <w:ilvl w:val="0"/>
          <w:numId w:val="6"/>
        </w:numPr>
        <w:rPr>
          <w:b/>
        </w:rPr>
      </w:pPr>
      <w:r>
        <w:t xml:space="preserve">NO Bridge </w:t>
      </w:r>
      <w:r w:rsidRPr="00B45273">
        <w:rPr>
          <w:bCs/>
          <w:color w:val="231F20"/>
        </w:rPr>
        <w:t>patients with</w:t>
      </w:r>
      <w:r w:rsidR="00C338AA">
        <w:rPr>
          <w:bCs/>
          <w:color w:val="231F20"/>
        </w:rPr>
        <w:t>out</w:t>
      </w:r>
      <w:r w:rsidRPr="00B45273">
        <w:rPr>
          <w:bCs/>
          <w:color w:val="231F20"/>
        </w:rPr>
        <w:t xml:space="preserve"> a mechanical heart valve,</w:t>
      </w:r>
      <w:r w:rsidRPr="00B45273">
        <w:rPr>
          <w:color w:val="231F20"/>
        </w:rPr>
        <w:br/>
      </w:r>
      <w:r w:rsidRPr="00B45273">
        <w:rPr>
          <w:bCs/>
          <w:color w:val="231F20"/>
        </w:rPr>
        <w:t xml:space="preserve">atrial fibrillation, or VTE at </w:t>
      </w:r>
      <w:r>
        <w:rPr>
          <w:b/>
          <w:bCs/>
          <w:color w:val="231F20"/>
        </w:rPr>
        <w:t>low</w:t>
      </w:r>
      <w:r w:rsidRPr="00B45273">
        <w:rPr>
          <w:b/>
          <w:bCs/>
          <w:color w:val="231F20"/>
        </w:rPr>
        <w:t xml:space="preserve"> risk</w:t>
      </w:r>
      <w:r w:rsidRPr="00B45273">
        <w:rPr>
          <w:bCs/>
          <w:color w:val="231F20"/>
        </w:rPr>
        <w:t xml:space="preserve"> for thromboembolism, interruption</w:t>
      </w:r>
      <w:r w:rsidRPr="00B45273">
        <w:rPr>
          <w:color w:val="231F20"/>
        </w:rPr>
        <w:br/>
      </w:r>
      <w:r w:rsidRPr="00B45273">
        <w:rPr>
          <w:bCs/>
          <w:color w:val="231F20"/>
        </w:rPr>
        <w:t xml:space="preserve">of VKA therapy </w:t>
      </w:r>
      <w:r w:rsidRPr="00B45273">
        <w:rPr>
          <w:color w:val="231F20"/>
        </w:rPr>
        <w:t>(Grade 2C)</w:t>
      </w:r>
    </w:p>
    <w:p w:rsidR="00352E5C" w:rsidRDefault="00352E5C" w:rsidP="00352E5C">
      <w:pPr>
        <w:pStyle w:val="ListParagraph"/>
      </w:pPr>
    </w:p>
    <w:p w:rsidR="00352E5C" w:rsidRDefault="00352E5C" w:rsidP="00352E5C">
      <w:pPr>
        <w:pStyle w:val="ListParagraph"/>
      </w:pPr>
    </w:p>
    <w:p w:rsidR="00352E5C" w:rsidRPr="00352E5C" w:rsidRDefault="00352E5C" w:rsidP="00352E5C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52E5C" w:rsidTr="0026582D">
        <w:tc>
          <w:tcPr>
            <w:tcW w:w="9576" w:type="dxa"/>
            <w:gridSpan w:val="3"/>
          </w:tcPr>
          <w:p w:rsidR="00352E5C" w:rsidRPr="00352E5C" w:rsidRDefault="00352E5C" w:rsidP="00A20DC3">
            <w:pPr>
              <w:pStyle w:val="ListParagraph"/>
              <w:ind w:left="0"/>
              <w:rPr>
                <w:b/>
              </w:rPr>
            </w:pPr>
            <w:r>
              <w:t xml:space="preserve">Risk for </w:t>
            </w:r>
            <w:proofErr w:type="spellStart"/>
            <w:r>
              <w:t>thromboembolism</w:t>
            </w:r>
            <w:proofErr w:type="spellEnd"/>
            <w:r>
              <w:t xml:space="preserve"> during </w:t>
            </w:r>
            <w:proofErr w:type="spellStart"/>
            <w:r>
              <w:t>periprocedural</w:t>
            </w:r>
            <w:proofErr w:type="spellEnd"/>
            <w:r>
              <w:t xml:space="preserve"> period:</w:t>
            </w:r>
          </w:p>
        </w:tc>
      </w:tr>
      <w:tr w:rsidR="00352E5C" w:rsidTr="00352E5C"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  <w:rPr>
                <w:b/>
                <w:highlight w:val="yellow"/>
              </w:rPr>
            </w:pPr>
            <w:r w:rsidRPr="00352E5C">
              <w:rPr>
                <w:b/>
                <w:highlight w:val="yellow"/>
              </w:rPr>
              <w:t>HIGH RISK</w:t>
            </w: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  <w:rPr>
                <w:b/>
              </w:rPr>
            </w:pPr>
            <w:r w:rsidRPr="00352E5C">
              <w:rPr>
                <w:b/>
              </w:rPr>
              <w:t>MEDIUM RISK</w:t>
            </w: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  <w:rPr>
                <w:b/>
              </w:rPr>
            </w:pPr>
            <w:r w:rsidRPr="00352E5C">
              <w:rPr>
                <w:b/>
              </w:rPr>
              <w:t>LOW RISK</w:t>
            </w:r>
          </w:p>
        </w:tc>
      </w:tr>
      <w:tr w:rsidR="00352E5C" w:rsidTr="00352E5C"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  <w:rPr>
                <w:highlight w:val="yellow"/>
              </w:rPr>
            </w:pPr>
            <w:r w:rsidRPr="00352E5C">
              <w:rPr>
                <w:highlight w:val="yellow"/>
              </w:rPr>
              <w:t>CHADS2</w:t>
            </w:r>
            <w:r w:rsidRPr="00352E5C">
              <w:rPr>
                <w:highlight w:val="yellow"/>
                <w:u w:val="single"/>
              </w:rPr>
              <w:t xml:space="preserve"> &gt;</w:t>
            </w:r>
            <w:r w:rsidRPr="00352E5C">
              <w:rPr>
                <w:highlight w:val="yellow"/>
              </w:rPr>
              <w:t>5</w:t>
            </w: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</w:pPr>
            <w:r w:rsidRPr="00352E5C">
              <w:t>CHADS2 3-4</w:t>
            </w: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</w:pPr>
            <w:r w:rsidRPr="00352E5C">
              <w:t>CHADS2 0-2 (and no prior stroke)</w:t>
            </w:r>
          </w:p>
        </w:tc>
      </w:tr>
      <w:tr w:rsidR="00352E5C" w:rsidTr="00352E5C"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  <w:rPr>
                <w:highlight w:val="yellow"/>
              </w:rPr>
            </w:pPr>
            <w:r w:rsidRPr="00352E5C">
              <w:rPr>
                <w:highlight w:val="yellow"/>
              </w:rPr>
              <w:t>Stroke or TIA w/in 3 mo</w:t>
            </w: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</w:pPr>
          </w:p>
        </w:tc>
      </w:tr>
      <w:tr w:rsidR="00352E5C" w:rsidTr="00352E5C"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  <w:rPr>
                <w:highlight w:val="yellow"/>
              </w:rPr>
            </w:pPr>
            <w:r w:rsidRPr="00352E5C">
              <w:rPr>
                <w:highlight w:val="yellow"/>
              </w:rPr>
              <w:t xml:space="preserve">Rheumatic </w:t>
            </w:r>
            <w:proofErr w:type="spellStart"/>
            <w:r w:rsidRPr="00352E5C">
              <w:rPr>
                <w:highlight w:val="yellow"/>
              </w:rPr>
              <w:t>valvular</w:t>
            </w:r>
            <w:proofErr w:type="spellEnd"/>
            <w:r w:rsidRPr="00352E5C">
              <w:rPr>
                <w:highlight w:val="yellow"/>
              </w:rPr>
              <w:t xml:space="preserve"> disease</w:t>
            </w: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52E5C" w:rsidRPr="00352E5C" w:rsidRDefault="00352E5C" w:rsidP="00A20DC3">
            <w:pPr>
              <w:pStyle w:val="ListParagraph"/>
              <w:ind w:left="0"/>
            </w:pPr>
          </w:p>
        </w:tc>
      </w:tr>
    </w:tbl>
    <w:p w:rsidR="00352E5C" w:rsidRDefault="00352E5C" w:rsidP="00A20DC3">
      <w:pPr>
        <w:pStyle w:val="ListParagraph"/>
        <w:ind w:left="0"/>
        <w:rPr>
          <w:b/>
        </w:rPr>
      </w:pPr>
    </w:p>
    <w:p w:rsidR="002D4E90" w:rsidRPr="00A20DC3" w:rsidRDefault="00DB3A26" w:rsidP="00A20DC3">
      <w:pPr>
        <w:pStyle w:val="ListParagraph"/>
        <w:ind w:left="0"/>
        <w:rPr>
          <w:b/>
        </w:rPr>
      </w:pPr>
      <w:r w:rsidRPr="00A20DC3">
        <w:rPr>
          <w:b/>
        </w:rPr>
        <w:t>Recent Trials</w:t>
      </w:r>
    </w:p>
    <w:p w:rsidR="00346E35" w:rsidRDefault="00DB3A26" w:rsidP="00346E35">
      <w:pPr>
        <w:spacing w:after="0" w:line="240" w:lineRule="auto"/>
        <w:rPr>
          <w:u w:val="single"/>
        </w:rPr>
      </w:pPr>
      <w:r w:rsidRPr="00DB3A26">
        <w:rPr>
          <w:u w:val="single"/>
        </w:rPr>
        <w:t xml:space="preserve">Use and Outcomes with Bridging During Anticoagulation Interruptions in Patients with </w:t>
      </w:r>
      <w:proofErr w:type="spellStart"/>
      <w:r w:rsidRPr="00DB3A26">
        <w:rPr>
          <w:u w:val="single"/>
        </w:rPr>
        <w:t>Afib</w:t>
      </w:r>
      <w:proofErr w:type="spellEnd"/>
      <w:r w:rsidRPr="00DB3A26">
        <w:rPr>
          <w:u w:val="single"/>
        </w:rPr>
        <w:t xml:space="preserve"> (ORBIT AF)</w:t>
      </w:r>
    </w:p>
    <w:p w:rsidR="00346E35" w:rsidRPr="00346E35" w:rsidRDefault="00346E35" w:rsidP="00346E35">
      <w:pPr>
        <w:spacing w:after="0" w:line="240" w:lineRule="auto"/>
        <w:rPr>
          <w:u w:val="single"/>
        </w:rPr>
      </w:pPr>
      <w:r>
        <w:rPr>
          <w:u w:val="single"/>
        </w:rPr>
        <w:t>(</w:t>
      </w:r>
      <w:r w:rsidRPr="00346E35">
        <w:rPr>
          <w:u w:val="single"/>
        </w:rPr>
        <w:t>Circulation. 2015</w:t>
      </w:r>
      <w:proofErr w:type="gramStart"/>
      <w:r w:rsidRPr="00346E35">
        <w:rPr>
          <w:u w:val="single"/>
        </w:rPr>
        <w:t>;131:488</w:t>
      </w:r>
      <w:proofErr w:type="gramEnd"/>
      <w:r w:rsidRPr="00346E35">
        <w:rPr>
          <w:u w:val="single"/>
        </w:rPr>
        <w:t>-94</w:t>
      </w:r>
      <w:r>
        <w:rPr>
          <w:u w:val="single"/>
        </w:rPr>
        <w:t>)</w:t>
      </w:r>
    </w:p>
    <w:p w:rsidR="00346E35" w:rsidRPr="00346E35" w:rsidRDefault="00346E35" w:rsidP="00346E35">
      <w:pPr>
        <w:spacing w:after="0" w:line="240" w:lineRule="auto"/>
        <w:rPr>
          <w:u w:val="single"/>
        </w:rPr>
      </w:pPr>
    </w:p>
    <w:p w:rsidR="008E437E" w:rsidRPr="00DB3A26" w:rsidRDefault="000128A9" w:rsidP="00346E35">
      <w:pPr>
        <w:pStyle w:val="ListParagraph"/>
        <w:numPr>
          <w:ilvl w:val="0"/>
          <w:numId w:val="9"/>
        </w:numPr>
        <w:spacing w:after="0" w:line="240" w:lineRule="auto"/>
      </w:pPr>
      <w:r w:rsidRPr="00DB3A26">
        <w:t>Prospective, observational registry</w:t>
      </w:r>
    </w:p>
    <w:p w:rsidR="008E437E" w:rsidRPr="00DB3A26" w:rsidRDefault="000128A9" w:rsidP="00346E35">
      <w:pPr>
        <w:pStyle w:val="ListParagraph"/>
        <w:numPr>
          <w:ilvl w:val="0"/>
          <w:numId w:val="9"/>
        </w:numPr>
        <w:spacing w:after="0" w:line="240" w:lineRule="auto"/>
      </w:pPr>
      <w:r w:rsidRPr="00DB3A26">
        <w:t>Bridging vs No Bridging</w:t>
      </w:r>
    </w:p>
    <w:p w:rsidR="008E437E" w:rsidRPr="00DB3A26" w:rsidRDefault="000128A9" w:rsidP="00346E35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DB3A26">
        <w:t>Avg</w:t>
      </w:r>
      <w:proofErr w:type="spellEnd"/>
      <w:r w:rsidRPr="00DB3A26">
        <w:t xml:space="preserve"> CHADS2=2.5            </w:t>
      </w:r>
    </w:p>
    <w:p w:rsidR="008E437E" w:rsidRPr="00DB3A26" w:rsidRDefault="000128A9" w:rsidP="00346E35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DB3A26">
        <w:t>Avg</w:t>
      </w:r>
      <w:proofErr w:type="spellEnd"/>
      <w:r w:rsidRPr="00DB3A26">
        <w:t xml:space="preserve"> </w:t>
      </w:r>
      <w:r w:rsidR="003D601F" w:rsidRPr="003D601F">
        <w:rPr>
          <w:color w:val="000000"/>
        </w:rPr>
        <w:t>CHA</w:t>
      </w:r>
      <w:r w:rsidR="003D601F" w:rsidRPr="003D601F">
        <w:rPr>
          <w:color w:val="000000"/>
          <w:sz w:val="12"/>
          <w:szCs w:val="12"/>
        </w:rPr>
        <w:t>2</w:t>
      </w:r>
      <w:r w:rsidR="003D601F" w:rsidRPr="003D601F">
        <w:rPr>
          <w:color w:val="000000"/>
        </w:rPr>
        <w:t>DS</w:t>
      </w:r>
      <w:r w:rsidR="003D601F" w:rsidRPr="003D601F">
        <w:rPr>
          <w:color w:val="000000"/>
          <w:sz w:val="12"/>
          <w:szCs w:val="12"/>
        </w:rPr>
        <w:t>2</w:t>
      </w:r>
      <w:r w:rsidR="003D601F" w:rsidRPr="003D601F">
        <w:rPr>
          <w:color w:val="000000"/>
        </w:rPr>
        <w:t xml:space="preserve">-VASc </w:t>
      </w:r>
      <w:r w:rsidRPr="00DB3A26">
        <w:t>=4</w:t>
      </w:r>
    </w:p>
    <w:p w:rsidR="00DB3A26" w:rsidRPr="00DB3A26" w:rsidRDefault="000128A9" w:rsidP="00DB3A26">
      <w:pPr>
        <w:pStyle w:val="ListParagraph"/>
        <w:numPr>
          <w:ilvl w:val="0"/>
          <w:numId w:val="9"/>
        </w:numPr>
        <w:spacing w:after="0" w:line="240" w:lineRule="auto"/>
      </w:pPr>
      <w:r w:rsidRPr="00DB3A26">
        <w:t>75 y/o</w:t>
      </w:r>
    </w:p>
    <w:p w:rsidR="008E437E" w:rsidRPr="00DB3A26" w:rsidRDefault="000128A9" w:rsidP="00346E35">
      <w:pPr>
        <w:pStyle w:val="ListParagraph"/>
        <w:numPr>
          <w:ilvl w:val="0"/>
          <w:numId w:val="10"/>
        </w:numPr>
        <w:spacing w:after="0" w:line="240" w:lineRule="auto"/>
      </w:pPr>
      <w:r w:rsidRPr="00DB3A26">
        <w:t>Cardiovascular events: 1.62 (0.95-2.78); p=0.07</w:t>
      </w:r>
    </w:p>
    <w:p w:rsidR="008E437E" w:rsidRDefault="000128A9" w:rsidP="00346E35">
      <w:pPr>
        <w:pStyle w:val="ListParagraph"/>
        <w:numPr>
          <w:ilvl w:val="0"/>
          <w:numId w:val="10"/>
        </w:numPr>
        <w:spacing w:after="0" w:line="240" w:lineRule="auto"/>
      </w:pPr>
      <w:r w:rsidRPr="00DB3A26">
        <w:t>Bleeding events: 1.94 (1.38-2.71)</w:t>
      </w:r>
    </w:p>
    <w:p w:rsidR="00346E35" w:rsidRPr="00346E35" w:rsidRDefault="00346E35" w:rsidP="00346E3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346E35">
        <w:rPr>
          <w:b/>
        </w:rPr>
        <w:t>NO DIFFERENCE IN REDUCING CV EVENTS, WITH INCREASED RISK OF BLEED</w:t>
      </w:r>
    </w:p>
    <w:p w:rsidR="00DB3A26" w:rsidRDefault="00DB3A26" w:rsidP="001300FE">
      <w:pPr>
        <w:spacing w:after="0" w:line="240" w:lineRule="auto"/>
        <w:rPr>
          <w:b/>
        </w:rPr>
      </w:pPr>
    </w:p>
    <w:p w:rsidR="00346E35" w:rsidRPr="00346E35" w:rsidRDefault="00346E35">
      <w:pPr>
        <w:rPr>
          <w:u w:val="single"/>
        </w:rPr>
      </w:pPr>
      <w:r w:rsidRPr="00346E35">
        <w:rPr>
          <w:u w:val="single"/>
        </w:rPr>
        <w:t xml:space="preserve">Perioperative Bridging Anticoagulation in Patients with Atrial Fibrillation (BRIDGE) (N </w:t>
      </w:r>
      <w:proofErr w:type="spellStart"/>
      <w:r w:rsidRPr="00346E35">
        <w:rPr>
          <w:u w:val="single"/>
        </w:rPr>
        <w:t>Engl</w:t>
      </w:r>
      <w:proofErr w:type="spellEnd"/>
      <w:r w:rsidRPr="00346E35">
        <w:rPr>
          <w:u w:val="single"/>
        </w:rPr>
        <w:t xml:space="preserve"> J Med 2015</w:t>
      </w:r>
      <w:proofErr w:type="gramStart"/>
      <w:r w:rsidRPr="00346E35">
        <w:rPr>
          <w:u w:val="single"/>
        </w:rPr>
        <w:t>;373:823</w:t>
      </w:r>
      <w:proofErr w:type="gramEnd"/>
      <w:r w:rsidRPr="00346E35">
        <w:rPr>
          <w:u w:val="single"/>
        </w:rPr>
        <w:t>-33)</w:t>
      </w:r>
    </w:p>
    <w:p w:rsidR="008E437E" w:rsidRPr="00346E35" w:rsidRDefault="000128A9" w:rsidP="00346E35">
      <w:pPr>
        <w:numPr>
          <w:ilvl w:val="0"/>
          <w:numId w:val="12"/>
        </w:numPr>
        <w:spacing w:after="0" w:line="240" w:lineRule="auto"/>
      </w:pPr>
      <w:r w:rsidRPr="00346E35">
        <w:t>RCT, double-blind, placebo controlled</w:t>
      </w:r>
    </w:p>
    <w:p w:rsidR="008E437E" w:rsidRPr="00346E35" w:rsidRDefault="000128A9" w:rsidP="00346E35">
      <w:pPr>
        <w:numPr>
          <w:ilvl w:val="0"/>
          <w:numId w:val="12"/>
        </w:numPr>
        <w:spacing w:after="0" w:line="240" w:lineRule="auto"/>
      </w:pPr>
      <w:proofErr w:type="spellStart"/>
      <w:r w:rsidRPr="00346E35">
        <w:t>Dalteparin</w:t>
      </w:r>
      <w:proofErr w:type="spellEnd"/>
      <w:r w:rsidRPr="00346E35">
        <w:t xml:space="preserve"> 100 IU/kg BID or placebo</w:t>
      </w:r>
    </w:p>
    <w:p w:rsidR="008E437E" w:rsidRPr="00346E35" w:rsidRDefault="000128A9" w:rsidP="00346E35">
      <w:pPr>
        <w:numPr>
          <w:ilvl w:val="0"/>
          <w:numId w:val="12"/>
        </w:numPr>
        <w:spacing w:after="0" w:line="240" w:lineRule="auto"/>
      </w:pPr>
      <w:proofErr w:type="spellStart"/>
      <w:r w:rsidRPr="00346E35">
        <w:t>Warfarin</w:t>
      </w:r>
      <w:proofErr w:type="spellEnd"/>
      <w:r w:rsidRPr="00346E35">
        <w:t xml:space="preserve"> d/</w:t>
      </w:r>
      <w:proofErr w:type="spellStart"/>
      <w:r w:rsidRPr="00346E35">
        <w:t>c’d</w:t>
      </w:r>
      <w:proofErr w:type="spellEnd"/>
      <w:r w:rsidRPr="00346E35">
        <w:t xml:space="preserve"> 5 days prior to procedure</w:t>
      </w:r>
    </w:p>
    <w:p w:rsidR="008E437E" w:rsidRDefault="000128A9" w:rsidP="00346E35">
      <w:pPr>
        <w:numPr>
          <w:ilvl w:val="0"/>
          <w:numId w:val="12"/>
        </w:numPr>
        <w:spacing w:after="0" w:line="240" w:lineRule="auto"/>
      </w:pPr>
      <w:r w:rsidRPr="00346E35">
        <w:t>CHADS2 score=2 (low risk)</w:t>
      </w:r>
    </w:p>
    <w:p w:rsidR="00C56EBC" w:rsidRPr="00C56EBC" w:rsidRDefault="00C56EBC" w:rsidP="00346E35">
      <w:pPr>
        <w:numPr>
          <w:ilvl w:val="0"/>
          <w:numId w:val="12"/>
        </w:numPr>
        <w:spacing w:after="0" w:line="240" w:lineRule="auto"/>
        <w:rPr>
          <w:b/>
        </w:rPr>
      </w:pPr>
      <w:r w:rsidRPr="00C56EBC">
        <w:rPr>
          <w:b/>
        </w:rPr>
        <w:t>BRIDGING IS NONINFERIOR TO BRIDGING WITH INCREASED RISK OF BLEED</w:t>
      </w:r>
    </w:p>
    <w:p w:rsidR="00346E35" w:rsidRPr="00346E35" w:rsidRDefault="00346E35" w:rsidP="00346E35">
      <w:pPr>
        <w:spacing w:after="0" w:line="240" w:lineRule="auto"/>
        <w:ind w:left="360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46E35" w:rsidRPr="00346E35" w:rsidTr="00346E35">
        <w:tc>
          <w:tcPr>
            <w:tcW w:w="2394" w:type="dxa"/>
          </w:tcPr>
          <w:p w:rsidR="00346E35" w:rsidRPr="00346E35" w:rsidRDefault="00346E35">
            <w:r w:rsidRPr="00346E35">
              <w:t>Primary Outcome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No Bridging (%)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Bridging (%)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P Value</w:t>
            </w:r>
          </w:p>
        </w:tc>
      </w:tr>
      <w:tr w:rsidR="00346E35" w:rsidRPr="00346E35" w:rsidTr="00346E35">
        <w:tc>
          <w:tcPr>
            <w:tcW w:w="2394" w:type="dxa"/>
          </w:tcPr>
          <w:p w:rsidR="00346E35" w:rsidRPr="00346E35" w:rsidRDefault="00346E35">
            <w:r w:rsidRPr="00346E35">
              <w:t>Atrial thromboembolism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0.4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0.3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 xml:space="preserve">0.01 </w:t>
            </w:r>
            <w:proofErr w:type="spellStart"/>
            <w:r w:rsidRPr="00346E35">
              <w:t>noninferiority</w:t>
            </w:r>
            <w:proofErr w:type="spellEnd"/>
          </w:p>
          <w:p w:rsidR="00346E35" w:rsidRPr="00346E35" w:rsidRDefault="00346E35">
            <w:r w:rsidRPr="00346E35">
              <w:t>0.73 superiority</w:t>
            </w:r>
          </w:p>
        </w:tc>
      </w:tr>
      <w:tr w:rsidR="00346E35" w:rsidRPr="00346E35" w:rsidTr="00346E35">
        <w:tc>
          <w:tcPr>
            <w:tcW w:w="2394" w:type="dxa"/>
          </w:tcPr>
          <w:p w:rsidR="00346E35" w:rsidRPr="00346E35" w:rsidRDefault="00346E35">
            <w:r w:rsidRPr="00346E35">
              <w:t>Stroke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0.2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0.3</w:t>
            </w:r>
          </w:p>
        </w:tc>
        <w:tc>
          <w:tcPr>
            <w:tcW w:w="2394" w:type="dxa"/>
          </w:tcPr>
          <w:p w:rsidR="00346E35" w:rsidRPr="00346E35" w:rsidRDefault="00346E35"/>
        </w:tc>
      </w:tr>
      <w:tr w:rsidR="00346E35" w:rsidRPr="00346E35" w:rsidTr="00346E35">
        <w:tc>
          <w:tcPr>
            <w:tcW w:w="2394" w:type="dxa"/>
          </w:tcPr>
          <w:p w:rsidR="00346E35" w:rsidRPr="00346E35" w:rsidRDefault="00346E35">
            <w:r w:rsidRPr="00346E35">
              <w:t>TIA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0.2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</w:t>
            </w:r>
          </w:p>
        </w:tc>
        <w:tc>
          <w:tcPr>
            <w:tcW w:w="2394" w:type="dxa"/>
          </w:tcPr>
          <w:p w:rsidR="00346E35" w:rsidRPr="00346E35" w:rsidRDefault="00346E35"/>
        </w:tc>
      </w:tr>
      <w:tr w:rsidR="00346E35" w:rsidRPr="00346E35" w:rsidTr="00346E35">
        <w:tc>
          <w:tcPr>
            <w:tcW w:w="2394" w:type="dxa"/>
          </w:tcPr>
          <w:p w:rsidR="00346E35" w:rsidRPr="00346E35" w:rsidRDefault="00346E35">
            <w:r w:rsidRPr="00346E35">
              <w:t>Systemic embolism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</w:t>
            </w:r>
          </w:p>
        </w:tc>
        <w:tc>
          <w:tcPr>
            <w:tcW w:w="2394" w:type="dxa"/>
          </w:tcPr>
          <w:p w:rsidR="00346E35" w:rsidRPr="00346E35" w:rsidRDefault="00346E35"/>
        </w:tc>
      </w:tr>
      <w:tr w:rsidR="00346E35" w:rsidRPr="00346E35" w:rsidTr="00346E35">
        <w:tc>
          <w:tcPr>
            <w:tcW w:w="2394" w:type="dxa"/>
          </w:tcPr>
          <w:p w:rsidR="00346E35" w:rsidRPr="00346E35" w:rsidRDefault="00346E35">
            <w:r w:rsidRPr="00346E35">
              <w:t>Bleeding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1.3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3.2</w:t>
            </w:r>
          </w:p>
        </w:tc>
        <w:tc>
          <w:tcPr>
            <w:tcW w:w="2394" w:type="dxa"/>
          </w:tcPr>
          <w:p w:rsidR="00346E35" w:rsidRPr="00346E35" w:rsidRDefault="00346E35">
            <w:r w:rsidRPr="00346E35">
              <w:t>0.005 superiority</w:t>
            </w:r>
          </w:p>
        </w:tc>
      </w:tr>
    </w:tbl>
    <w:p w:rsidR="00346E35" w:rsidRPr="00DB3A26" w:rsidRDefault="00346E35" w:rsidP="001300FE">
      <w:pPr>
        <w:spacing w:after="0" w:line="240" w:lineRule="auto"/>
        <w:rPr>
          <w:b/>
        </w:rPr>
      </w:pPr>
    </w:p>
    <w:p w:rsidR="002D4E90" w:rsidRPr="00856319" w:rsidRDefault="00856319" w:rsidP="001300FE">
      <w:pPr>
        <w:spacing w:after="0" w:line="240" w:lineRule="auto"/>
        <w:rPr>
          <w:b/>
        </w:rPr>
      </w:pPr>
      <w:r w:rsidRPr="00856319">
        <w:rPr>
          <w:b/>
        </w:rPr>
        <w:t>Bottom Line:</w:t>
      </w:r>
    </w:p>
    <w:p w:rsidR="00856319" w:rsidRDefault="00856319">
      <w:r>
        <w:t xml:space="preserve">Recent trials (BRIDGE and ORBIT AF) show that bridging is not necessary </w:t>
      </w:r>
      <w:proofErr w:type="gramStart"/>
      <w:r>
        <w:t xml:space="preserve">in a LOW risk </w:t>
      </w:r>
      <w:proofErr w:type="spellStart"/>
      <w:r>
        <w:t>afib</w:t>
      </w:r>
      <w:proofErr w:type="spellEnd"/>
      <w:r>
        <w:t xml:space="preserve"> patients</w:t>
      </w:r>
      <w:proofErr w:type="gramEnd"/>
      <w:r>
        <w:t>.</w:t>
      </w:r>
      <w:r w:rsidR="00352E5C">
        <w:t xml:space="preserve"> </w:t>
      </w:r>
      <w:r w:rsidR="003D601F">
        <w:t>According to these trials, l</w:t>
      </w:r>
      <w:r w:rsidR="00352E5C">
        <w:t>ow risk is</w:t>
      </w:r>
      <w:r>
        <w:t xml:space="preserve"> CHADS2 score of 2 and a </w:t>
      </w:r>
      <w:r w:rsidR="003D601F" w:rsidRPr="003D601F">
        <w:rPr>
          <w:color w:val="000000"/>
        </w:rPr>
        <w:t>CHA</w:t>
      </w:r>
      <w:r w:rsidR="003D601F" w:rsidRPr="003D601F">
        <w:rPr>
          <w:color w:val="000000"/>
          <w:sz w:val="12"/>
          <w:szCs w:val="12"/>
        </w:rPr>
        <w:t>2</w:t>
      </w:r>
      <w:r w:rsidR="003D601F" w:rsidRPr="003D601F">
        <w:rPr>
          <w:color w:val="000000"/>
        </w:rPr>
        <w:t>DS</w:t>
      </w:r>
      <w:r w:rsidR="003D601F" w:rsidRPr="003D601F">
        <w:rPr>
          <w:color w:val="000000"/>
          <w:sz w:val="12"/>
          <w:szCs w:val="12"/>
        </w:rPr>
        <w:t>2</w:t>
      </w:r>
      <w:r w:rsidR="003D601F" w:rsidRPr="003D601F">
        <w:rPr>
          <w:color w:val="000000"/>
        </w:rPr>
        <w:t xml:space="preserve">-VASc </w:t>
      </w:r>
      <w:r>
        <w:t xml:space="preserve">score of 4. Most guidelines and evidence do suggest that HIGH risk </w:t>
      </w:r>
      <w:proofErr w:type="spellStart"/>
      <w:r>
        <w:t>afib</w:t>
      </w:r>
      <w:proofErr w:type="spellEnd"/>
      <w:r>
        <w:t xml:space="preserve"> patients should be bridged. High risk has been defined more specifically in the CHEST 2012 Perioperative guidelines as a </w:t>
      </w:r>
      <w:r w:rsidRPr="00DB3A26">
        <w:t xml:space="preserve">CHADS2 Score 5 or 6; recent (w/in 3 months) stroke or TIA, Rheumatic </w:t>
      </w:r>
      <w:proofErr w:type="spellStart"/>
      <w:r w:rsidRPr="00DB3A26">
        <w:t>valvular</w:t>
      </w:r>
      <w:proofErr w:type="spellEnd"/>
      <w:r w:rsidRPr="00DB3A26">
        <w:t xml:space="preserve"> heart disease</w:t>
      </w:r>
      <w:r>
        <w:t xml:space="preserve"> and mechanical heart valves. </w:t>
      </w:r>
      <w:r w:rsidR="003D601F">
        <w:t>In light of BRIDGE and ORBIT AF, the guidelines will probably need an update soon.</w:t>
      </w:r>
    </w:p>
    <w:sectPr w:rsidR="00856319" w:rsidSect="008E43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9A" w:rsidRDefault="0026709A" w:rsidP="00CA408D">
      <w:pPr>
        <w:spacing w:after="0" w:line="240" w:lineRule="auto"/>
      </w:pPr>
      <w:r>
        <w:separator/>
      </w:r>
    </w:p>
  </w:endnote>
  <w:endnote w:type="continuationSeparator" w:id="0">
    <w:p w:rsidR="0026709A" w:rsidRDefault="0026709A" w:rsidP="00CA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8D" w:rsidRDefault="00CA408D">
    <w:pPr>
      <w:pStyle w:val="Footer"/>
    </w:pPr>
    <w:r>
      <w:t>SS 7/14/16</w:t>
    </w:r>
  </w:p>
  <w:p w:rsidR="00CA408D" w:rsidRDefault="00CA4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9A" w:rsidRDefault="0026709A" w:rsidP="00CA408D">
      <w:pPr>
        <w:spacing w:after="0" w:line="240" w:lineRule="auto"/>
      </w:pPr>
      <w:r>
        <w:separator/>
      </w:r>
    </w:p>
  </w:footnote>
  <w:footnote w:type="continuationSeparator" w:id="0">
    <w:p w:rsidR="0026709A" w:rsidRDefault="0026709A" w:rsidP="00CA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5E"/>
    <w:multiLevelType w:val="hybridMultilevel"/>
    <w:tmpl w:val="F1D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7F74"/>
    <w:multiLevelType w:val="hybridMultilevel"/>
    <w:tmpl w:val="C012F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1834"/>
    <w:multiLevelType w:val="hybridMultilevel"/>
    <w:tmpl w:val="90D60B9E"/>
    <w:lvl w:ilvl="0" w:tplc="01FC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0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494BE0"/>
    <w:multiLevelType w:val="hybridMultilevel"/>
    <w:tmpl w:val="40B23CC4"/>
    <w:lvl w:ilvl="0" w:tplc="B718C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A8B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2B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680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E3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289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CC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214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E13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F4D11"/>
    <w:multiLevelType w:val="hybridMultilevel"/>
    <w:tmpl w:val="77325B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09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6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89656B"/>
    <w:multiLevelType w:val="hybridMultilevel"/>
    <w:tmpl w:val="2312C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2E14"/>
    <w:multiLevelType w:val="hybridMultilevel"/>
    <w:tmpl w:val="B3F2D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D0F45"/>
    <w:multiLevelType w:val="hybridMultilevel"/>
    <w:tmpl w:val="E2987EA2"/>
    <w:lvl w:ilvl="0" w:tplc="86DE9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D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AE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E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C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E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E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EC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8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933132"/>
    <w:multiLevelType w:val="hybridMultilevel"/>
    <w:tmpl w:val="129EBF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090051"/>
    <w:multiLevelType w:val="hybridMultilevel"/>
    <w:tmpl w:val="B3AA2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95585B"/>
    <w:multiLevelType w:val="hybridMultilevel"/>
    <w:tmpl w:val="545E08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52116E"/>
    <w:multiLevelType w:val="hybridMultilevel"/>
    <w:tmpl w:val="A4D4F4D2"/>
    <w:lvl w:ilvl="0" w:tplc="A542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E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01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6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6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8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C1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3847D1"/>
    <w:multiLevelType w:val="hybridMultilevel"/>
    <w:tmpl w:val="C00E94B2"/>
    <w:lvl w:ilvl="0" w:tplc="DEBA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3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2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2F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05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CC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E90"/>
    <w:rsid w:val="000128A9"/>
    <w:rsid w:val="001300FE"/>
    <w:rsid w:val="0026709A"/>
    <w:rsid w:val="002D4E90"/>
    <w:rsid w:val="00346E35"/>
    <w:rsid w:val="00352E5C"/>
    <w:rsid w:val="003D601F"/>
    <w:rsid w:val="00403FAF"/>
    <w:rsid w:val="004C4B03"/>
    <w:rsid w:val="005A31FF"/>
    <w:rsid w:val="00856319"/>
    <w:rsid w:val="008E437E"/>
    <w:rsid w:val="00A20DC3"/>
    <w:rsid w:val="00AE0AC0"/>
    <w:rsid w:val="00B40E34"/>
    <w:rsid w:val="00B45273"/>
    <w:rsid w:val="00C338AA"/>
    <w:rsid w:val="00C56EBC"/>
    <w:rsid w:val="00CA408D"/>
    <w:rsid w:val="00D9588C"/>
    <w:rsid w:val="00DB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7E"/>
  </w:style>
  <w:style w:type="paragraph" w:styleId="Heading1">
    <w:name w:val="heading 1"/>
    <w:basedOn w:val="Normal"/>
    <w:link w:val="Heading1Char"/>
    <w:uiPriority w:val="9"/>
    <w:qFormat/>
    <w:rsid w:val="0040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A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8D"/>
  </w:style>
  <w:style w:type="paragraph" w:styleId="Footer">
    <w:name w:val="footer"/>
    <w:basedOn w:val="Normal"/>
    <w:link w:val="FooterChar"/>
    <w:uiPriority w:val="99"/>
    <w:unhideWhenUsed/>
    <w:rsid w:val="00CA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8D"/>
  </w:style>
  <w:style w:type="paragraph" w:styleId="BalloonText">
    <w:name w:val="Balloon Text"/>
    <w:basedOn w:val="Normal"/>
    <w:link w:val="BalloonTextChar"/>
    <w:uiPriority w:val="99"/>
    <w:semiHidden/>
    <w:unhideWhenUsed/>
    <w:rsid w:val="00C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3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3F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8D"/>
  </w:style>
  <w:style w:type="paragraph" w:styleId="Footer">
    <w:name w:val="footer"/>
    <w:basedOn w:val="Normal"/>
    <w:link w:val="FooterChar"/>
    <w:uiPriority w:val="99"/>
    <w:unhideWhenUsed/>
    <w:rsid w:val="00CA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8D"/>
  </w:style>
  <w:style w:type="paragraph" w:styleId="BalloonText">
    <w:name w:val="Balloon Text"/>
    <w:basedOn w:val="Normal"/>
    <w:link w:val="BalloonTextChar"/>
    <w:uiPriority w:val="99"/>
    <w:semiHidden/>
    <w:unhideWhenUsed/>
    <w:rsid w:val="00C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3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03F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42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54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5900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B4EA-C3EA-4CD7-A15E-B4A8D3CC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See</dc:creator>
  <cp:lastModifiedBy>ssee</cp:lastModifiedBy>
  <cp:revision>13</cp:revision>
  <dcterms:created xsi:type="dcterms:W3CDTF">2016-07-14T13:31:00Z</dcterms:created>
  <dcterms:modified xsi:type="dcterms:W3CDTF">2016-07-19T20:31:00Z</dcterms:modified>
</cp:coreProperties>
</file>